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08367" w14:textId="4B2E08FB" w:rsidR="00D13C36" w:rsidRPr="00760530" w:rsidRDefault="00D13C36" w:rsidP="00D13C36">
      <w:pPr>
        <w:pStyle w:val="3GPPHeader"/>
        <w:spacing w:after="60"/>
        <w:rPr>
          <w:sz w:val="32"/>
          <w:szCs w:val="32"/>
          <w:highlight w:val="yellow"/>
        </w:rPr>
      </w:pPr>
      <w:bookmarkStart w:id="0" w:name="_GoBack"/>
      <w:bookmarkEnd w:id="0"/>
      <w:r w:rsidRPr="00760530">
        <w:t>3GPP TSG-RAN WG1 Meeting #</w:t>
      </w:r>
      <w:r>
        <w:t>100</w:t>
      </w:r>
      <w:r w:rsidR="00D87BA8">
        <w:t>bis</w:t>
      </w:r>
      <w:r w:rsidRPr="00760530">
        <w:tab/>
      </w:r>
      <w:proofErr w:type="spellStart"/>
      <w:r w:rsidRPr="00760530">
        <w:rPr>
          <w:sz w:val="32"/>
          <w:szCs w:val="32"/>
        </w:rPr>
        <w:t>Tdoc</w:t>
      </w:r>
      <w:proofErr w:type="spellEnd"/>
      <w:r w:rsidRPr="00760530">
        <w:rPr>
          <w:sz w:val="32"/>
          <w:szCs w:val="32"/>
        </w:rPr>
        <w:t xml:space="preserve"> </w:t>
      </w:r>
      <w:r w:rsidR="006F1A27" w:rsidRPr="006F1A27">
        <w:rPr>
          <w:sz w:val="32"/>
          <w:szCs w:val="32"/>
        </w:rPr>
        <w:t>R1-2002424</w:t>
      </w:r>
    </w:p>
    <w:p w14:paraId="2970572C" w14:textId="77777777" w:rsidR="00D87BA8" w:rsidRPr="009513AC" w:rsidRDefault="00D87BA8" w:rsidP="00D87B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ED30D50" w14:textId="77777777" w:rsidR="00D13C36" w:rsidRPr="000513CA" w:rsidRDefault="00D13C36" w:rsidP="00D13C36">
      <w:pPr>
        <w:pStyle w:val="3GPPHeader"/>
      </w:pPr>
    </w:p>
    <w:p w14:paraId="61B2A8B3" w14:textId="51CC4E06" w:rsidR="00D13C36" w:rsidRPr="000513CA" w:rsidRDefault="00D13C36" w:rsidP="00D13C36">
      <w:pPr>
        <w:pStyle w:val="3GPPHeader"/>
        <w:spacing w:after="0"/>
        <w:rPr>
          <w:sz w:val="22"/>
        </w:rPr>
      </w:pPr>
      <w:r w:rsidRPr="002E2132">
        <w:rPr>
          <w:sz w:val="22"/>
        </w:rPr>
        <w:t>Agenda Item:</w:t>
      </w:r>
      <w:r w:rsidRPr="002E2132">
        <w:rPr>
          <w:sz w:val="22"/>
        </w:rPr>
        <w:tab/>
        <w:t>7.2.10.</w:t>
      </w:r>
      <w:r w:rsidR="0056512F" w:rsidRPr="002E2132">
        <w:rPr>
          <w:sz w:val="22"/>
        </w:rPr>
        <w:t>7</w:t>
      </w:r>
    </w:p>
    <w:p w14:paraId="1DFED7C9" w14:textId="77777777" w:rsidR="00D13C36" w:rsidRPr="00760530" w:rsidRDefault="00D13C36" w:rsidP="00D13C36">
      <w:pPr>
        <w:pStyle w:val="3GPPHeader"/>
        <w:spacing w:after="0"/>
        <w:rPr>
          <w:sz w:val="22"/>
        </w:rPr>
      </w:pPr>
      <w:r w:rsidRPr="00760530">
        <w:rPr>
          <w:sz w:val="22"/>
        </w:rPr>
        <w:t>Source:</w:t>
      </w:r>
      <w:r w:rsidRPr="00760530">
        <w:rPr>
          <w:sz w:val="22"/>
        </w:rPr>
        <w:tab/>
        <w:t>Ericsson</w:t>
      </w:r>
    </w:p>
    <w:p w14:paraId="54A8FE0E" w14:textId="25DA1772" w:rsidR="00D13C36" w:rsidRPr="00760530" w:rsidRDefault="00D13C36" w:rsidP="00D13C36">
      <w:pPr>
        <w:pStyle w:val="3GPPHeader"/>
        <w:spacing w:after="0"/>
        <w:rPr>
          <w:sz w:val="22"/>
        </w:rPr>
      </w:pPr>
      <w:r w:rsidRPr="00760530">
        <w:rPr>
          <w:sz w:val="22"/>
        </w:rPr>
        <w:t>Title:</w:t>
      </w:r>
      <w:r w:rsidRPr="00760530">
        <w:rPr>
          <w:sz w:val="22"/>
        </w:rPr>
        <w:tab/>
      </w:r>
      <w:r w:rsidR="0056512F" w:rsidRPr="0056512F">
        <w:rPr>
          <w:sz w:val="22"/>
        </w:rPr>
        <w:t>Data rate handling for intra-FR NR-DC</w:t>
      </w:r>
    </w:p>
    <w:p w14:paraId="7227363A" w14:textId="77777777" w:rsidR="00D13C36" w:rsidRDefault="00D13C36" w:rsidP="00D13C36">
      <w:pPr>
        <w:pStyle w:val="3GPPHeader"/>
        <w:spacing w:after="0"/>
        <w:rPr>
          <w:sz w:val="22"/>
        </w:rPr>
      </w:pPr>
      <w:r w:rsidRPr="00760530">
        <w:rPr>
          <w:sz w:val="22"/>
        </w:rPr>
        <w:t>Document for:</w:t>
      </w:r>
      <w:r w:rsidRPr="00760530">
        <w:rPr>
          <w:sz w:val="22"/>
        </w:rPr>
        <w:tab/>
        <w:t>Discussion and Decision</w:t>
      </w:r>
    </w:p>
    <w:p w14:paraId="6558326C" w14:textId="77777777" w:rsidR="00D13C36" w:rsidRPr="00760530" w:rsidRDefault="00D13C36" w:rsidP="00D13C36">
      <w:pPr>
        <w:pStyle w:val="3GPPHeader"/>
        <w:spacing w:after="0"/>
        <w:rPr>
          <w:sz w:val="22"/>
        </w:rPr>
      </w:pPr>
    </w:p>
    <w:p w14:paraId="0393540C" w14:textId="77777777" w:rsidR="00D13C36" w:rsidRPr="005F577B" w:rsidRDefault="00D13C36" w:rsidP="00D13C36">
      <w:pPr>
        <w:pStyle w:val="Heading1"/>
        <w:rPr>
          <w:lang w:val="en-US"/>
        </w:rPr>
      </w:pPr>
      <w:r>
        <w:t>1</w:t>
      </w:r>
      <w:r>
        <w:tab/>
      </w:r>
      <w:r w:rsidRPr="005F577B">
        <w:rPr>
          <w:lang w:val="en-US"/>
        </w:rPr>
        <w:tab/>
        <w:t>Introduction</w:t>
      </w:r>
    </w:p>
    <w:p w14:paraId="460BF8AC" w14:textId="519336CF" w:rsidR="00D13C36" w:rsidRPr="004E347E" w:rsidRDefault="00D13C36" w:rsidP="00D13C36">
      <w:pPr>
        <w:pStyle w:val="BodyText"/>
        <w:rPr>
          <w:rFonts w:ascii="Times New Roman" w:hAnsi="Times New Roman" w:cs="Times New Roman"/>
          <w:sz w:val="20"/>
          <w:szCs w:val="20"/>
          <w:lang w:val="x-none"/>
        </w:rPr>
      </w:pPr>
      <w:r w:rsidRPr="004E347E">
        <w:rPr>
          <w:rFonts w:ascii="Times New Roman" w:hAnsi="Times New Roman" w:cs="Times New Roman"/>
          <w:sz w:val="20"/>
          <w:szCs w:val="20"/>
        </w:rPr>
        <w:t xml:space="preserve">In this paper, we discuss data rate handling for intra-FR dual connectivity. </w:t>
      </w:r>
    </w:p>
    <w:p w14:paraId="544FADAF" w14:textId="77777777" w:rsidR="00D13C36" w:rsidRDefault="00D13C36" w:rsidP="00D13C36">
      <w:pPr>
        <w:pStyle w:val="Heading1"/>
        <w:rPr>
          <w:lang w:val="en-US"/>
        </w:rPr>
      </w:pPr>
      <w:r>
        <w:rPr>
          <w:lang w:val="en-US"/>
        </w:rPr>
        <w:t>2</w:t>
      </w:r>
      <w:r w:rsidRPr="005F577B">
        <w:rPr>
          <w:lang w:val="en-US"/>
        </w:rPr>
        <w:tab/>
      </w:r>
      <w:r>
        <w:rPr>
          <w:lang w:val="en-US"/>
        </w:rPr>
        <w:t>Discussion</w:t>
      </w:r>
    </w:p>
    <w:p w14:paraId="0A6261C7" w14:textId="77777777"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Rel-15, the Data rate related TBS restriction is applied on a per-FR per-CG basis. Thus, a UE configured with one cell group and with FR1+FR2 CA would have a per-FR1 cap and a per-FR2 cap. Similarly, a UE configured with two cell groups with FR1 carrier in MCG, and FR2 carriers in SCG will have a per-FR1 cap for MCG, and a per-FR2 cap for SCG. The caps are determined based on data rate value calculated from the data rate formula in 38.306 using the reported feature set(s) and band combination </w:t>
      </w:r>
      <w:proofErr w:type="spellStart"/>
      <w:r>
        <w:rPr>
          <w:rFonts w:ascii="Times New Roman" w:eastAsiaTheme="minorEastAsia" w:hAnsi="Times New Roman" w:cs="Times New Roman"/>
          <w:sz w:val="20"/>
          <w:szCs w:val="20"/>
        </w:rPr>
        <w:t>signalling</w:t>
      </w:r>
      <w:proofErr w:type="spellEnd"/>
      <w:r>
        <w:rPr>
          <w:rFonts w:ascii="Times New Roman" w:eastAsiaTheme="minorEastAsia" w:hAnsi="Times New Roman" w:cs="Times New Roman"/>
          <w:sz w:val="20"/>
          <w:szCs w:val="20"/>
        </w:rPr>
        <w:t xml:space="preserve"> as captured in 38.214. A per-CC cap is applied for PDSCH/PUSCH capability#2 processing time or implicit MCS based retransmissions. </w:t>
      </w:r>
    </w:p>
    <w:p w14:paraId="7B4DC1A4" w14:textId="77777777"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Rel-15, the data rate partitioning (or determination) across cells groups and across frequency range is based on the feature sets consistent with the capabilities reported by the UE and described in 38.213. </w:t>
      </w:r>
    </w:p>
    <w:p w14:paraId="710AB32D" w14:textId="634A7FA4"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w:t>
      </w:r>
      <w:r w:rsidR="004E347E">
        <w:rPr>
          <w:rFonts w:ascii="Times New Roman" w:eastAsiaTheme="minorEastAsia" w:hAnsi="Times New Roman" w:cs="Times New Roman"/>
          <w:sz w:val="20"/>
          <w:szCs w:val="20"/>
        </w:rPr>
        <w:t>one of previous meetings</w:t>
      </w:r>
      <w:r>
        <w:rPr>
          <w:rFonts w:ascii="Times New Roman" w:eastAsiaTheme="minorEastAsia" w:hAnsi="Times New Roman" w:cs="Times New Roman"/>
          <w:sz w:val="20"/>
          <w:szCs w:val="20"/>
        </w:rPr>
        <w:t xml:space="preserve">, it was proposed to include a cap on per-CG basis only allowing data rate sharing across carriers in FR1 and FR2. Such a scheme can allow more scheduling flexibility at the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improve overall performance, if UE implementation can handle such scenarios. </w:t>
      </w:r>
    </w:p>
    <w:p w14:paraId="4288B644" w14:textId="77777777"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Another aspect to consider is how data rate can be handled by MCG and SCG for carriers in same frequency range. Consider following case for a UE configured with an MCG and SCG </w:t>
      </w:r>
    </w:p>
    <w:p w14:paraId="11C51E5B" w14:textId="77777777" w:rsidR="00D13C36" w:rsidRDefault="00D13C36" w:rsidP="00D13C36">
      <w:pPr>
        <w:pStyle w:val="ListParagraph"/>
        <w:numPr>
          <w:ilvl w:val="0"/>
          <w:numId w:val="6"/>
        </w:numPr>
        <w:spacing w:afterLines="50" w:after="120" w:line="254" w:lineRule="auto"/>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MCG in FR1 and in FR2 </w:t>
      </w:r>
    </w:p>
    <w:p w14:paraId="522A3FC1" w14:textId="77777777" w:rsidR="00D13C36" w:rsidRDefault="00D13C36" w:rsidP="00D13C36">
      <w:pPr>
        <w:pStyle w:val="ListParagraph"/>
        <w:numPr>
          <w:ilvl w:val="0"/>
          <w:numId w:val="6"/>
        </w:numPr>
        <w:spacing w:afterLines="50" w:after="120" w:line="254" w:lineRule="auto"/>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SCG in FR1 only</w:t>
      </w:r>
    </w:p>
    <w:p w14:paraId="39DCBFE2" w14:textId="07AAB898"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FR1, since both MCG and SCG have the carriers in FR1, flexible data rate sharing as per Rel-15 based on feature sets across CGs might need some consideration since the </w:t>
      </w:r>
      <w:proofErr w:type="spellStart"/>
      <w:r>
        <w:rPr>
          <w:rFonts w:ascii="Times New Roman" w:eastAsiaTheme="minorEastAsia" w:hAnsi="Times New Roman" w:cs="Times New Roman"/>
          <w:sz w:val="20"/>
          <w:szCs w:val="20"/>
        </w:rPr>
        <w:t>DataRate</w:t>
      </w:r>
      <w:proofErr w:type="spellEnd"/>
      <w:r>
        <w:rPr>
          <w:rFonts w:ascii="Times New Roman" w:eastAsiaTheme="minorEastAsia" w:hAnsi="Times New Roman" w:cs="Times New Roman"/>
          <w:sz w:val="20"/>
          <w:szCs w:val="20"/>
        </w:rPr>
        <w:t xml:space="preserve"> computation for FR1 carriers in MCG and </w:t>
      </w:r>
      <w:proofErr w:type="spellStart"/>
      <w:r>
        <w:rPr>
          <w:rFonts w:ascii="Times New Roman" w:eastAsiaTheme="minorEastAsia" w:hAnsi="Times New Roman" w:cs="Times New Roman"/>
          <w:sz w:val="20"/>
          <w:szCs w:val="20"/>
        </w:rPr>
        <w:t>DataRate</w:t>
      </w:r>
      <w:proofErr w:type="spellEnd"/>
      <w:r>
        <w:rPr>
          <w:rFonts w:ascii="Times New Roman" w:eastAsiaTheme="minorEastAsia" w:hAnsi="Times New Roman" w:cs="Times New Roman"/>
          <w:sz w:val="20"/>
          <w:szCs w:val="20"/>
        </w:rPr>
        <w:t xml:space="preserve"> computation for FR1 carriers in SCG may together exceed the UE processing capability. This aspect needs to be also considered. One possible update is that</w:t>
      </w:r>
      <w:r>
        <w:t xml:space="preserve"> </w:t>
      </w:r>
      <w:r>
        <w:rPr>
          <w:rFonts w:ascii="Times New Roman" w:eastAsiaTheme="minorEastAsia" w:hAnsi="Times New Roman" w:cs="Times New Roman"/>
          <w:sz w:val="20"/>
          <w:szCs w:val="20"/>
        </w:rPr>
        <w:t>the data rate for a CG is the maximum data rate based on the band/band combination signaling and feature set information for carriers in a frequency range in one cell group from the capability signaling associated with multiple cell groups – since the SCG (and MCG) know the feature set partition that the SCG can use, the SCG can determines the data rate schedulable for a UE within SCG.</w:t>
      </w:r>
      <w:r w:rsidR="00FD5E1C">
        <w:rPr>
          <w:rFonts w:ascii="Times New Roman" w:eastAsiaTheme="minorEastAsia" w:hAnsi="Times New Roman" w:cs="Times New Roman"/>
          <w:sz w:val="20"/>
          <w:szCs w:val="20"/>
        </w:rPr>
        <w:t xml:space="preserve"> </w:t>
      </w:r>
    </w:p>
    <w:p w14:paraId="4F07EAFF" w14:textId="6055266B" w:rsidR="00D13C36" w:rsidRPr="00FD5E1C" w:rsidRDefault="00D13C36" w:rsidP="00FD5E1C">
      <w:pPr>
        <w:spacing w:after="0" w:line="240" w:lineRule="auto"/>
        <w:rPr>
          <w:rFonts w:ascii="Times" w:eastAsia="Batang" w:hAnsi="Times" w:cs="Times New Roman"/>
          <w:b/>
          <w:sz w:val="20"/>
          <w:szCs w:val="20"/>
          <w:lang w:val="en-GB"/>
        </w:rPr>
      </w:pPr>
      <w:proofErr w:type="gramStart"/>
      <w:r>
        <w:rPr>
          <w:rFonts w:ascii="Times" w:eastAsia="Batang" w:hAnsi="Times" w:cs="Times New Roman"/>
          <w:b/>
          <w:sz w:val="20"/>
          <w:szCs w:val="20"/>
          <w:lang w:val="en-GB"/>
        </w:rPr>
        <w:t>Proposal :</w:t>
      </w:r>
      <w:proofErr w:type="gramEnd"/>
      <w:r>
        <w:rPr>
          <w:rFonts w:ascii="Times" w:eastAsia="Batang" w:hAnsi="Times" w:cs="Times New Roman"/>
          <w:b/>
          <w:sz w:val="20"/>
          <w:szCs w:val="20"/>
          <w:lang w:val="en-GB"/>
        </w:rPr>
        <w:t xml:space="preserve"> Update the data rate handling specified in 38.214 to account for case when MCG and SCG are configured with CCs in same frequency range. For that case, maximum data rate is calculated based on the band/band combination signalling and feature set information </w:t>
      </w:r>
      <w:r w:rsidRPr="00A40192">
        <w:rPr>
          <w:rFonts w:ascii="Times" w:eastAsia="Batang" w:hAnsi="Times" w:cs="Times New Roman"/>
          <w:b/>
          <w:sz w:val="20"/>
          <w:szCs w:val="20"/>
          <w:u w:val="single"/>
          <w:lang w:val="en-GB"/>
        </w:rPr>
        <w:t>for carriers in a frequency range in one cell group</w:t>
      </w:r>
      <w:r>
        <w:rPr>
          <w:rFonts w:ascii="Times" w:eastAsia="Batang" w:hAnsi="Times" w:cs="Times New Roman"/>
          <w:b/>
          <w:sz w:val="20"/>
          <w:szCs w:val="20"/>
          <w:lang w:val="en-GB"/>
        </w:rPr>
        <w:t xml:space="preserve"> from the capability signalling associated with multiple cell group.</w:t>
      </w:r>
    </w:p>
    <w:p w14:paraId="5D5FD091" w14:textId="77777777" w:rsidR="00D13C36" w:rsidRPr="007D1A59" w:rsidRDefault="00D13C36" w:rsidP="00D13C36">
      <w:pPr>
        <w:rPr>
          <w:lang w:val="en-GB" w:eastAsia="ja-JP"/>
        </w:rPr>
      </w:pPr>
    </w:p>
    <w:p w14:paraId="3FD1306E" w14:textId="77777777" w:rsidR="00D13C36" w:rsidRPr="005F577B" w:rsidRDefault="00D13C36" w:rsidP="00D13C36">
      <w:pPr>
        <w:pStyle w:val="Heading1"/>
        <w:rPr>
          <w:lang w:val="en-US"/>
        </w:rPr>
      </w:pPr>
      <w:r w:rsidRPr="005F577B">
        <w:rPr>
          <w:lang w:val="en-US"/>
        </w:rPr>
        <w:t>Conclusion</w:t>
      </w:r>
    </w:p>
    <w:p w14:paraId="573BB910" w14:textId="7553F566" w:rsidR="00D13C36" w:rsidRPr="00C437D1" w:rsidRDefault="0080528C" w:rsidP="00D13C36">
      <w:pPr>
        <w:pStyle w:val="BodyText"/>
        <w:rPr>
          <w:rFonts w:cs="Arial"/>
        </w:rPr>
      </w:pPr>
      <w:r>
        <w:rPr>
          <w:rFonts w:cs="Arial"/>
        </w:rPr>
        <w:t>We propose the following</w:t>
      </w:r>
      <w:r w:rsidR="00A40192">
        <w:rPr>
          <w:rFonts w:cs="Arial"/>
        </w:rPr>
        <w:t>:</w:t>
      </w:r>
    </w:p>
    <w:p w14:paraId="7B65845F" w14:textId="12ED1FFE" w:rsidR="00FD5E1C" w:rsidRPr="005F577B" w:rsidRDefault="00FD5E1C" w:rsidP="00FD5E1C">
      <w:pPr>
        <w:spacing w:after="0" w:line="240" w:lineRule="auto"/>
        <w:rPr>
          <w:b/>
          <w:bCs/>
        </w:rPr>
      </w:pPr>
      <w:proofErr w:type="gramStart"/>
      <w:r>
        <w:rPr>
          <w:rFonts w:ascii="Times" w:eastAsia="Batang" w:hAnsi="Times" w:cs="Times New Roman"/>
          <w:b/>
          <w:sz w:val="20"/>
          <w:szCs w:val="20"/>
          <w:lang w:val="en-GB"/>
        </w:rPr>
        <w:t>Proposal :</w:t>
      </w:r>
      <w:proofErr w:type="gramEnd"/>
      <w:r>
        <w:rPr>
          <w:rFonts w:ascii="Times" w:eastAsia="Batang" w:hAnsi="Times" w:cs="Times New Roman"/>
          <w:b/>
          <w:sz w:val="20"/>
          <w:szCs w:val="20"/>
          <w:lang w:val="en-GB"/>
        </w:rPr>
        <w:t xml:space="preserve"> Update the data rate handling specified in 38.214 to account for case when MCG and SCG are configured with CCs in same frequency range. For that case, maximum data rate is calculated based on the </w:t>
      </w:r>
      <w:r>
        <w:rPr>
          <w:rFonts w:ascii="Times" w:eastAsia="Batang" w:hAnsi="Times" w:cs="Times New Roman"/>
          <w:b/>
          <w:sz w:val="20"/>
          <w:szCs w:val="20"/>
          <w:lang w:val="en-GB"/>
        </w:rPr>
        <w:lastRenderedPageBreak/>
        <w:t xml:space="preserve">band/band combination signalling and feature set information for carriers </w:t>
      </w:r>
      <w:r w:rsidRPr="00A40192">
        <w:rPr>
          <w:rFonts w:ascii="Times" w:eastAsia="Batang" w:hAnsi="Times" w:cs="Times New Roman"/>
          <w:b/>
          <w:sz w:val="20"/>
          <w:szCs w:val="20"/>
          <w:u w:val="single"/>
          <w:lang w:val="en-GB"/>
        </w:rPr>
        <w:t>in a frequency range in one cell group</w:t>
      </w:r>
      <w:r>
        <w:rPr>
          <w:rFonts w:ascii="Times" w:eastAsia="Batang" w:hAnsi="Times" w:cs="Times New Roman"/>
          <w:b/>
          <w:sz w:val="20"/>
          <w:szCs w:val="20"/>
          <w:lang w:val="en-GB"/>
        </w:rPr>
        <w:t xml:space="preserve"> from the capability signalling associated with multiple cell group.</w:t>
      </w:r>
    </w:p>
    <w:p w14:paraId="3029FE23" w14:textId="54BBFF60" w:rsidR="00D13C36" w:rsidRPr="007258DD" w:rsidRDefault="00D13C36" w:rsidP="00D13C36">
      <w:pPr>
        <w:pStyle w:val="BodyText"/>
      </w:pPr>
      <w:r w:rsidRPr="005F577B">
        <w:rPr>
          <w:b/>
          <w:bCs/>
        </w:rPr>
        <w:t xml:space="preserve"> </w:t>
      </w:r>
    </w:p>
    <w:p w14:paraId="067CA9A0" w14:textId="77777777" w:rsidR="00D13C36" w:rsidRDefault="00D13C36">
      <w:bookmarkStart w:id="1" w:name="_In-sequence_SDU_delivery"/>
      <w:bookmarkEnd w:id="1"/>
    </w:p>
    <w:sectPr w:rsidR="00D13C36"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F3C32" w14:textId="77777777" w:rsidR="00EB1C27" w:rsidRDefault="00EB1C27">
      <w:pPr>
        <w:spacing w:after="0" w:line="240" w:lineRule="auto"/>
      </w:pPr>
      <w:r>
        <w:separator/>
      </w:r>
    </w:p>
  </w:endnote>
  <w:endnote w:type="continuationSeparator" w:id="0">
    <w:p w14:paraId="7FFA91EE" w14:textId="77777777" w:rsidR="00EB1C27" w:rsidRDefault="00EB1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2810" w14:textId="77777777" w:rsidR="00623EDB" w:rsidRDefault="00D13C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006F4" w14:textId="77777777" w:rsidR="00EB1C27" w:rsidRDefault="00EB1C27">
      <w:pPr>
        <w:spacing w:after="0" w:line="240" w:lineRule="auto"/>
      </w:pPr>
      <w:r>
        <w:separator/>
      </w:r>
    </w:p>
  </w:footnote>
  <w:footnote w:type="continuationSeparator" w:id="0">
    <w:p w14:paraId="78AE582B" w14:textId="77777777" w:rsidR="00EB1C27" w:rsidRDefault="00EB1C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DED27" w14:textId="77777777" w:rsidR="00623EDB" w:rsidRDefault="00D13C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7292D"/>
    <w:multiLevelType w:val="hybridMultilevel"/>
    <w:tmpl w:val="D374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0E23FDB"/>
    <w:multiLevelType w:val="hybridMultilevel"/>
    <w:tmpl w:val="C5A01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C36"/>
    <w:rsid w:val="00230822"/>
    <w:rsid w:val="002E2132"/>
    <w:rsid w:val="003745B1"/>
    <w:rsid w:val="004E347E"/>
    <w:rsid w:val="0056512F"/>
    <w:rsid w:val="005713BC"/>
    <w:rsid w:val="006F1A27"/>
    <w:rsid w:val="0080528C"/>
    <w:rsid w:val="008B7420"/>
    <w:rsid w:val="00A40192"/>
    <w:rsid w:val="00D13C36"/>
    <w:rsid w:val="00D87BA8"/>
    <w:rsid w:val="00DE03C1"/>
    <w:rsid w:val="00EB1C27"/>
    <w:rsid w:val="00ED6293"/>
    <w:rsid w:val="00FD5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057D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13C36"/>
  </w:style>
  <w:style w:type="paragraph" w:styleId="Heading1">
    <w:name w:val="heading 1"/>
    <w:next w:val="Normal"/>
    <w:link w:val="Heading1Char"/>
    <w:qFormat/>
    <w:rsid w:val="00D13C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D13C36"/>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3C36"/>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D13C36"/>
    <w:rPr>
      <w:rFonts w:ascii="Arial" w:eastAsia="Times New Roman" w:hAnsi="Arial" w:cs="Times New Roman"/>
      <w:sz w:val="32"/>
      <w:szCs w:val="20"/>
      <w:lang w:val="en-GB" w:eastAsia="ja-JP"/>
    </w:rPr>
  </w:style>
  <w:style w:type="paragraph" w:customStyle="1" w:styleId="3GPPHeader">
    <w:name w:val="3GPP_Header"/>
    <w:basedOn w:val="BodyText"/>
    <w:rsid w:val="00D13C36"/>
    <w:pPr>
      <w:tabs>
        <w:tab w:val="left" w:pos="1701"/>
        <w:tab w:val="right" w:pos="9639"/>
      </w:tabs>
      <w:spacing w:after="240"/>
    </w:pPr>
    <w:rPr>
      <w:b/>
      <w:sz w:val="24"/>
    </w:rPr>
  </w:style>
  <w:style w:type="paragraph" w:styleId="Footer">
    <w:name w:val="footer"/>
    <w:basedOn w:val="Header"/>
    <w:link w:val="FooterChar"/>
    <w:rsid w:val="00D13C36"/>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D13C36"/>
    <w:rPr>
      <w:rFonts w:ascii="Arial" w:eastAsia="Times New Roman" w:hAnsi="Arial" w:cs="Times New Roman"/>
      <w:b/>
      <w:i/>
      <w:noProof/>
      <w:sz w:val="18"/>
      <w:szCs w:val="20"/>
      <w:lang w:val="en-GB" w:eastAsia="ja-JP"/>
    </w:rPr>
  </w:style>
  <w:style w:type="character" w:styleId="PageNumber">
    <w:name w:val="page number"/>
    <w:basedOn w:val="DefaultParagraphFont"/>
    <w:rsid w:val="00D13C36"/>
  </w:style>
  <w:style w:type="paragraph" w:styleId="BodyText">
    <w:name w:val="Body Text"/>
    <w:basedOn w:val="Normal"/>
    <w:link w:val="BodyTextChar"/>
    <w:rsid w:val="00D13C36"/>
    <w:pPr>
      <w:spacing w:after="120"/>
      <w:jc w:val="both"/>
    </w:pPr>
    <w:rPr>
      <w:rFonts w:ascii="Arial" w:hAnsi="Arial"/>
    </w:rPr>
  </w:style>
  <w:style w:type="character" w:customStyle="1" w:styleId="BodyTextChar">
    <w:name w:val="Body Text Char"/>
    <w:basedOn w:val="DefaultParagraphFont"/>
    <w:link w:val="BodyText"/>
    <w:rsid w:val="00D13C36"/>
    <w:rPr>
      <w:rFonts w:ascii="Arial" w:hAnsi="Arial"/>
    </w:rPr>
  </w:style>
  <w:style w:type="character" w:styleId="Hyperlink">
    <w:name w:val="Hyperlink"/>
    <w:uiPriority w:val="99"/>
    <w:rsid w:val="00D13C36"/>
    <w:rPr>
      <w:color w:val="0000FF"/>
      <w:u w:val="single"/>
    </w:rPr>
  </w:style>
  <w:style w:type="paragraph" w:customStyle="1" w:styleId="Proposal">
    <w:name w:val="Proposal"/>
    <w:basedOn w:val="BodyText"/>
    <w:rsid w:val="00D13C36"/>
    <w:pPr>
      <w:numPr>
        <w:numId w:val="1"/>
      </w:numPr>
      <w:tabs>
        <w:tab w:val="left" w:pos="1701"/>
      </w:tabs>
    </w:pPr>
    <w:rPr>
      <w:b/>
      <w:bCs/>
    </w:rPr>
  </w:style>
  <w:style w:type="paragraph" w:styleId="TableofFigures">
    <w:name w:val="table of figures"/>
    <w:basedOn w:val="BodyText"/>
    <w:next w:val="Normal"/>
    <w:uiPriority w:val="99"/>
    <w:rsid w:val="00D13C36"/>
    <w:pPr>
      <w:ind w:left="1701" w:hanging="1701"/>
      <w:jc w:val="left"/>
    </w:pPr>
    <w:rPr>
      <w:b/>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D13C3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D13C36"/>
    <w:rPr>
      <w:rFonts w:ascii="Calibri" w:eastAsia="Calibri" w:hAnsi="Calibri"/>
      <w:lang w:val="x-none"/>
    </w:rPr>
  </w:style>
  <w:style w:type="paragraph" w:customStyle="1" w:styleId="references">
    <w:name w:val="references"/>
    <w:rsid w:val="00D13C36"/>
    <w:pPr>
      <w:numPr>
        <w:numId w:val="2"/>
      </w:numPr>
      <w:spacing w:after="50" w:line="180" w:lineRule="exact"/>
      <w:jc w:val="both"/>
    </w:pPr>
    <w:rPr>
      <w:rFonts w:ascii="Times New Roman" w:eastAsia="MS Mincho" w:hAnsi="Times New Roman" w:cs="Times New Roman"/>
      <w:noProof/>
      <w:sz w:val="16"/>
      <w:szCs w:val="16"/>
    </w:rPr>
  </w:style>
  <w:style w:type="paragraph" w:styleId="Header">
    <w:name w:val="header"/>
    <w:basedOn w:val="Normal"/>
    <w:link w:val="HeaderChar"/>
    <w:uiPriority w:val="99"/>
    <w:unhideWhenUsed/>
    <w:rsid w:val="00D13C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3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84551">
      <w:bodyDiv w:val="1"/>
      <w:marLeft w:val="0"/>
      <w:marRight w:val="0"/>
      <w:marTop w:val="0"/>
      <w:marBottom w:val="0"/>
      <w:divBdr>
        <w:top w:val="none" w:sz="0" w:space="0" w:color="auto"/>
        <w:left w:val="none" w:sz="0" w:space="0" w:color="auto"/>
        <w:bottom w:val="none" w:sz="0" w:space="0" w:color="auto"/>
        <w:right w:val="none" w:sz="0" w:space="0" w:color="auto"/>
      </w:divBdr>
    </w:div>
    <w:div w:id="12951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056E94C-A9A3-49D9-A711-693E267526CF}"/>
</file>

<file path=customXml/itemProps2.xml><?xml version="1.0" encoding="utf-8"?>
<ds:datastoreItem xmlns:ds="http://schemas.openxmlformats.org/officeDocument/2006/customXml" ds:itemID="{122D0C33-EFB0-4B21-81E0-C7CC14AABAB4}"/>
</file>

<file path=customXml/itemProps3.xml><?xml version="1.0" encoding="utf-8"?>
<ds:datastoreItem xmlns:ds="http://schemas.openxmlformats.org/officeDocument/2006/customXml" ds:itemID="{44171D25-28EA-4A07-A9FF-C0EBE5587760}"/>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2020-04-11T03:50:00Z</dcterms:created>
  <dcterms:modified xsi:type="dcterms:W3CDTF">2020-04-11T03:50:00Z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